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4A" w:rsidRPr="00CF325F" w:rsidRDefault="004C134A" w:rsidP="00FE1176">
      <w:pPr>
        <w:spacing w:after="0"/>
        <w:rPr>
          <w:rFonts w:ascii="Verdana" w:hAnsi="Verdana"/>
          <w:b/>
          <w:color w:val="17365D" w:themeColor="text2" w:themeShade="BF"/>
          <w:spacing w:val="24"/>
          <w:sz w:val="28"/>
          <w:szCs w:val="28"/>
          <w:lang w:val="en-GB"/>
        </w:rPr>
      </w:pPr>
    </w:p>
    <w:p w:rsidR="004C134A" w:rsidRPr="00CF325F" w:rsidRDefault="004953C7" w:rsidP="00480DC1">
      <w:pPr>
        <w:spacing w:after="0"/>
        <w:jc w:val="center"/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spacing w:val="24"/>
          <w:sz w:val="28"/>
          <w:szCs w:val="28"/>
          <w:lang w:val="en-GB"/>
        </w:rPr>
        <w:t>ANNUAL EVENT</w:t>
      </w:r>
      <w:r w:rsidR="00635C3A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br/>
        <w:t>„</w:t>
      </w:r>
      <w:r w:rsidR="00B4649B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>Joint</w:t>
      </w:r>
      <w:r w:rsidR="00480DC1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 xml:space="preserve"> solutions</w:t>
      </w:r>
      <w:r w:rsidR="00AC4132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 xml:space="preserve"> for the benefit of </w:t>
      </w:r>
    </w:p>
    <w:p w:rsidR="00480DC1" w:rsidRPr="00CF325F" w:rsidRDefault="00256DCE" w:rsidP="00480DC1">
      <w:pPr>
        <w:spacing w:after="0"/>
        <w:jc w:val="center"/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</w:pPr>
      <w:r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>t</w:t>
      </w:r>
      <w:r w:rsidR="00AC4132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>he</w:t>
      </w:r>
      <w:r w:rsidR="00480DC1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 xml:space="preserve">Estonia-Latvia-Russia </w:t>
      </w:r>
      <w:r w:rsidR="00AC4132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 xml:space="preserve">border </w:t>
      </w:r>
      <w:r w:rsidR="00B4649B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>area</w:t>
      </w:r>
      <w:r w:rsidR="00AC4132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>s</w:t>
      </w:r>
      <w:r w:rsidR="00635C3A" w:rsidRPr="00CF325F">
        <w:rPr>
          <w:rFonts w:ascii="Verdana" w:hAnsi="Verdana"/>
          <w:b/>
          <w:color w:val="17365D" w:themeColor="text2" w:themeShade="BF"/>
          <w:sz w:val="28"/>
          <w:szCs w:val="28"/>
          <w:lang w:val="en-GB"/>
        </w:rPr>
        <w:t>”</w:t>
      </w:r>
    </w:p>
    <w:p w:rsidR="008C4DF6" w:rsidRPr="00CF325F" w:rsidRDefault="00635C3A" w:rsidP="008C4DF6">
      <w:pPr>
        <w:tabs>
          <w:tab w:val="left" w:pos="6960"/>
        </w:tabs>
        <w:spacing w:after="0" w:line="240" w:lineRule="auto"/>
        <w:jc w:val="center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lang w:val="en-GB"/>
        </w:rPr>
        <w:br/>
      </w:r>
      <w:r w:rsidR="00EC739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3</w:t>
      </w:r>
      <w:r w:rsidR="004953C7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– </w:t>
      </w:r>
      <w:r w:rsidR="00EC739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4</w:t>
      </w: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June 201</w:t>
      </w:r>
      <w:r w:rsidR="00EC739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4</w:t>
      </w: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, </w:t>
      </w:r>
      <w:r w:rsidR="00EC739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br/>
      </w:r>
      <w:r w:rsidR="008C4DF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The Gatchina Palace,</w:t>
      </w:r>
      <w:r w:rsidR="00816DA4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</w:t>
      </w:r>
      <w:r w:rsidR="008C4DF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Conference Hall </w:t>
      </w:r>
    </w:p>
    <w:p w:rsidR="008C4DF6" w:rsidRPr="00CF325F" w:rsidRDefault="008C4DF6" w:rsidP="008C4DF6">
      <w:pPr>
        <w:tabs>
          <w:tab w:val="left" w:pos="6960"/>
        </w:tabs>
        <w:spacing w:after="0" w:line="240" w:lineRule="auto"/>
        <w:jc w:val="center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Krasnoarmeyskiy pr.1, Gatchina</w:t>
      </w:r>
    </w:p>
    <w:p w:rsidR="00F771DC" w:rsidRPr="00CF325F" w:rsidRDefault="00EC739D" w:rsidP="00367C3E">
      <w:pPr>
        <w:spacing w:after="0"/>
        <w:jc w:val="center"/>
        <w:rPr>
          <w:rFonts w:ascii="Verdana" w:hAnsi="Verdana"/>
          <w:b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Leningrad Region, Russia</w:t>
      </w:r>
    </w:p>
    <w:p w:rsidR="00B1118F" w:rsidRPr="00CF325F" w:rsidRDefault="00B1118F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</w:p>
    <w:p w:rsidR="007E0873" w:rsidRPr="00CF325F" w:rsidRDefault="007E0873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</w:p>
    <w:p w:rsidR="0078074F" w:rsidRPr="00CF325F" w:rsidRDefault="0078074F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</w:p>
    <w:p w:rsidR="00BA3E5B" w:rsidRPr="00CF325F" w:rsidRDefault="00BA3E5B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lang w:val="en-GB"/>
        </w:rPr>
        <w:t>DAY I</w:t>
      </w:r>
      <w:r w:rsidR="008B39DA" w:rsidRPr="00CF325F">
        <w:rPr>
          <w:rFonts w:ascii="Verdana" w:hAnsi="Verdana"/>
          <w:b/>
          <w:color w:val="17365D" w:themeColor="text2" w:themeShade="BF"/>
          <w:lang w:val="en-GB"/>
        </w:rPr>
        <w:t>– 3</w:t>
      </w:r>
      <w:r w:rsidR="008B39DA" w:rsidRPr="00CF325F">
        <w:rPr>
          <w:rFonts w:ascii="Verdana" w:hAnsi="Verdana"/>
          <w:b/>
          <w:color w:val="17365D" w:themeColor="text2" w:themeShade="BF"/>
          <w:vertAlign w:val="superscript"/>
          <w:lang w:val="en-GB"/>
        </w:rPr>
        <w:t>rd</w:t>
      </w:r>
      <w:r w:rsidR="008B39DA" w:rsidRPr="00CF325F">
        <w:rPr>
          <w:rFonts w:ascii="Verdana" w:hAnsi="Verdana"/>
          <w:b/>
          <w:color w:val="17365D" w:themeColor="text2" w:themeShade="BF"/>
          <w:lang w:val="en-GB"/>
        </w:rPr>
        <w:t xml:space="preserve"> June, 2014</w:t>
      </w:r>
      <w:r w:rsidR="00C4028C" w:rsidRPr="00CF325F">
        <w:rPr>
          <w:rFonts w:ascii="Verdana" w:hAnsi="Verdana"/>
          <w:b/>
          <w:color w:val="17365D" w:themeColor="text2" w:themeShade="BF"/>
          <w:lang w:val="en-GB"/>
        </w:rPr>
        <w:t>, evening</w:t>
      </w:r>
    </w:p>
    <w:p w:rsidR="0078074F" w:rsidRPr="00CF325F" w:rsidRDefault="0078074F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lang w:val="en-GB"/>
        </w:rPr>
        <w:t xml:space="preserve">Venue:  </w:t>
      </w:r>
      <w:r w:rsidR="00004365">
        <w:rPr>
          <w:rFonts w:ascii="Verdana" w:hAnsi="Verdana"/>
          <w:b/>
          <w:color w:val="17365D" w:themeColor="text2" w:themeShade="BF"/>
          <w:sz w:val="20"/>
          <w:szCs w:val="20"/>
          <w:lang w:val="en-GB"/>
        </w:rPr>
        <w:t>t</w:t>
      </w:r>
      <w:r w:rsidR="00FE1176" w:rsidRPr="00CF325F">
        <w:rPr>
          <w:rFonts w:ascii="Verdana" w:hAnsi="Verdana"/>
          <w:b/>
          <w:color w:val="17365D" w:themeColor="text2" w:themeShade="BF"/>
          <w:sz w:val="20"/>
          <w:szCs w:val="20"/>
          <w:lang w:val="en-GB"/>
        </w:rPr>
        <w:t>he Pavlovsk State Museum</w:t>
      </w:r>
    </w:p>
    <w:p w:rsidR="00F329C6" w:rsidRPr="00CF325F" w:rsidRDefault="00F329C6" w:rsidP="00FE1176">
      <w:pPr>
        <w:tabs>
          <w:tab w:val="left" w:pos="6960"/>
        </w:tabs>
        <w:spacing w:before="120" w:after="120" w:line="240" w:lineRule="auto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1</w:t>
      </w:r>
      <w:r w:rsidR="00367C3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5</w:t>
      </w:r>
      <w:r w:rsidR="00FE117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:00</w:t>
      </w:r>
      <w:r w:rsidR="00816DA4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</w:t>
      </w:r>
      <w:r w:rsidR="008A2A7F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Departure</w:t>
      </w:r>
      <w:r w:rsidR="00BD080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of the participants</w:t>
      </w:r>
      <w:r w:rsidR="00816DA4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</w:t>
      </w:r>
      <w:r w:rsidR="00FB49F1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from</w:t>
      </w:r>
      <w:r w:rsidR="0010382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St.Petersburg</w:t>
      </w:r>
      <w:r w:rsidR="00FE117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br/>
      </w:r>
      <w:r w:rsidR="001F797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(</w:t>
      </w:r>
      <w:r w:rsidR="008A2A7F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M</w:t>
      </w:r>
      <w:r w:rsidR="001F797D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oskovskaya metro station)</w:t>
      </w:r>
    </w:p>
    <w:p w:rsidR="0010382E" w:rsidRPr="00CF325F" w:rsidRDefault="00155AC3" w:rsidP="00FE1176">
      <w:pPr>
        <w:tabs>
          <w:tab w:val="left" w:pos="6960"/>
        </w:tabs>
        <w:spacing w:before="120" w:after="120" w:line="240" w:lineRule="auto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Travel to project site</w:t>
      </w:r>
      <w:r w:rsidR="00816DA4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</w:t>
      </w: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ELRII-261 “Landscape pearls”</w:t>
      </w:r>
      <w:r w:rsidR="00FE117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br/>
      </w:r>
      <w:r w:rsidR="0010382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(Pavlovsk</w:t>
      </w:r>
      <w:r w:rsidR="00037DBF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, Pushkinskiy district, St.Petersburg</w:t>
      </w:r>
      <w:r w:rsidR="0010382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)</w:t>
      </w:r>
    </w:p>
    <w:p w:rsidR="0010382E" w:rsidRPr="00CF325F" w:rsidRDefault="00BD080D" w:rsidP="00FE1176">
      <w:pPr>
        <w:tabs>
          <w:tab w:val="left" w:pos="6960"/>
        </w:tabs>
        <w:spacing w:before="120" w:after="120" w:line="240" w:lineRule="auto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1</w:t>
      </w:r>
      <w:r w:rsidR="00367C3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6</w:t>
      </w:r>
      <w:r w:rsidR="008A2A7F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:00</w:t>
      </w:r>
      <w:r w:rsidR="00816DA4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</w:t>
      </w:r>
      <w:r w:rsidR="0010382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Site Visit to </w:t>
      </w:r>
      <w:r w:rsidR="00155AC3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p</w:t>
      </w:r>
      <w:r w:rsidR="0010382E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roject</w:t>
      </w:r>
      <w:r w:rsidR="00FE117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 xml:space="preserve"> ELRII-261 “Landscape pearls”</w:t>
      </w:r>
      <w:r w:rsidR="00155AC3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,</w:t>
      </w:r>
      <w:r w:rsidR="00FE117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br/>
      </w:r>
      <w:r w:rsidR="00FB49F1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t</w:t>
      </w:r>
      <w:r w:rsidR="00FE1176"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he Pavlovsk State Museum</w:t>
      </w:r>
      <w:r w:rsidR="00816DA4">
        <w:rPr>
          <w:rFonts w:ascii="Verdana" w:hAnsi="Verdana"/>
          <w:color w:val="17365D" w:themeColor="text2" w:themeShade="BF"/>
          <w:sz w:val="20"/>
          <w:szCs w:val="20"/>
          <w:lang w:val="en-GB"/>
        </w:rPr>
        <w:t>, Opening of the Grand Cascade</w:t>
      </w:r>
    </w:p>
    <w:p w:rsidR="008A2A7F" w:rsidRPr="00CF325F" w:rsidRDefault="008A2A7F" w:rsidP="00FE1176">
      <w:pPr>
        <w:tabs>
          <w:tab w:val="left" w:pos="6960"/>
        </w:tabs>
        <w:spacing w:before="120" w:after="120" w:line="240" w:lineRule="auto"/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  <w:r w:rsidRPr="00CF325F">
        <w:rPr>
          <w:rFonts w:ascii="Verdana" w:hAnsi="Verdana"/>
          <w:color w:val="17365D" w:themeColor="text2" w:themeShade="BF"/>
          <w:sz w:val="20"/>
          <w:szCs w:val="20"/>
          <w:lang w:val="en-GB"/>
        </w:rPr>
        <w:t>19:00              Departure of the participants to St.Petersburg</w:t>
      </w:r>
    </w:p>
    <w:p w:rsidR="0078074F" w:rsidRPr="00CF325F" w:rsidRDefault="0078074F" w:rsidP="0078074F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</w:p>
    <w:p w:rsidR="008A2A7F" w:rsidRPr="00CF325F" w:rsidRDefault="008A2A7F" w:rsidP="0078074F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</w:p>
    <w:p w:rsidR="0078074F" w:rsidRPr="00CF325F" w:rsidRDefault="0078074F" w:rsidP="0078074F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lang w:val="en-GB"/>
        </w:rPr>
        <w:t>DAY II – 4</w:t>
      </w:r>
      <w:r w:rsidRPr="00CF325F">
        <w:rPr>
          <w:rFonts w:ascii="Verdana" w:hAnsi="Verdana"/>
          <w:b/>
          <w:color w:val="17365D" w:themeColor="text2" w:themeShade="BF"/>
          <w:vertAlign w:val="superscript"/>
          <w:lang w:val="en-GB"/>
        </w:rPr>
        <w:t>th</w:t>
      </w:r>
      <w:r w:rsidRPr="00CF325F">
        <w:rPr>
          <w:rFonts w:ascii="Verdana" w:hAnsi="Verdana"/>
          <w:b/>
          <w:color w:val="17365D" w:themeColor="text2" w:themeShade="BF"/>
          <w:lang w:val="en-GB"/>
        </w:rPr>
        <w:t xml:space="preserve"> June, 2014</w:t>
      </w:r>
    </w:p>
    <w:p w:rsidR="00624DCC" w:rsidRPr="00CF325F" w:rsidRDefault="0078074F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lang w:val="en-GB"/>
        </w:rPr>
        <w:t xml:space="preserve">Venue: Conference Hall, Gatchina Palace, </w:t>
      </w:r>
    </w:p>
    <w:p w:rsidR="0078074F" w:rsidRPr="00CF325F" w:rsidRDefault="00F73CAE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  <w:r w:rsidRPr="00CF325F">
        <w:rPr>
          <w:rFonts w:ascii="Verdana" w:hAnsi="Verdana"/>
          <w:b/>
          <w:color w:val="17365D" w:themeColor="text2" w:themeShade="BF"/>
          <w:lang w:val="en-GB"/>
        </w:rPr>
        <w:t xml:space="preserve">Krasnoarmeyskiy pr.1, </w:t>
      </w:r>
      <w:r w:rsidR="0078074F" w:rsidRPr="00CF325F">
        <w:rPr>
          <w:rFonts w:ascii="Verdana" w:hAnsi="Verdana"/>
          <w:b/>
          <w:color w:val="17365D" w:themeColor="text2" w:themeShade="BF"/>
          <w:lang w:val="en-GB"/>
        </w:rPr>
        <w:t>Gatchina</w:t>
      </w:r>
    </w:p>
    <w:p w:rsidR="00F73CAE" w:rsidRPr="00CF325F" w:rsidRDefault="00F73CAE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</w:p>
    <w:p w:rsidR="00F73CAE" w:rsidRPr="00CF325F" w:rsidRDefault="00F73CAE" w:rsidP="005C29FA">
      <w:pPr>
        <w:tabs>
          <w:tab w:val="left" w:pos="6960"/>
        </w:tabs>
        <w:spacing w:after="0" w:line="240" w:lineRule="auto"/>
        <w:jc w:val="both"/>
        <w:rPr>
          <w:rFonts w:ascii="Verdana" w:hAnsi="Verdana"/>
          <w:b/>
          <w:color w:val="17365D" w:themeColor="text2" w:themeShade="BF"/>
          <w:lang w:val="en-GB"/>
        </w:rPr>
      </w:pPr>
    </w:p>
    <w:tbl>
      <w:tblPr>
        <w:tblStyle w:val="TableGrid"/>
        <w:tblW w:w="10065" w:type="dxa"/>
        <w:tblInd w:w="-743" w:type="dxa"/>
        <w:tblLook w:val="0480"/>
      </w:tblPr>
      <w:tblGrid>
        <w:gridCol w:w="1702"/>
        <w:gridCol w:w="8363"/>
      </w:tblGrid>
      <w:tr w:rsidR="00F73CAE" w:rsidRPr="00CF325F" w:rsidTr="00D2523C">
        <w:trPr>
          <w:trHeight w:val="851"/>
        </w:trPr>
        <w:tc>
          <w:tcPr>
            <w:tcW w:w="1702" w:type="dxa"/>
            <w:vAlign w:val="center"/>
          </w:tcPr>
          <w:p w:rsidR="00F73CAE" w:rsidRPr="00CF325F" w:rsidRDefault="00F73CAE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8:30</w:t>
            </w:r>
          </w:p>
        </w:tc>
        <w:tc>
          <w:tcPr>
            <w:tcW w:w="8363" w:type="dxa"/>
            <w:vAlign w:val="center"/>
          </w:tcPr>
          <w:p w:rsidR="00F73CAE" w:rsidRPr="00CF325F" w:rsidRDefault="00F73CAE" w:rsidP="00FB49F1">
            <w:pPr>
              <w:tabs>
                <w:tab w:val="left" w:pos="6960"/>
              </w:tabs>
              <w:spacing w:before="120" w:after="120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Departure of the participants </w:t>
            </w:r>
            <w:r w:rsidR="00FB49F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from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 St.Petersburg 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br/>
              <w:t>(Moskovskaya metro station)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972C3A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9:30</w:t>
            </w:r>
          </w:p>
        </w:tc>
        <w:tc>
          <w:tcPr>
            <w:tcW w:w="8363" w:type="dxa"/>
            <w:vAlign w:val="center"/>
          </w:tcPr>
          <w:p w:rsidR="00972C3A" w:rsidRPr="00CF325F" w:rsidRDefault="00972C3A" w:rsidP="00972C3A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Registration/ Welcome tea and coffee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972C3A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 xml:space="preserve">10:30 </w:t>
            </w:r>
          </w:p>
        </w:tc>
        <w:tc>
          <w:tcPr>
            <w:tcW w:w="8363" w:type="dxa"/>
            <w:vAlign w:val="center"/>
          </w:tcPr>
          <w:p w:rsidR="000309F5" w:rsidRPr="00CF325F" w:rsidRDefault="00972C3A" w:rsidP="000309F5">
            <w:pPr>
              <w:tabs>
                <w:tab w:val="left" w:pos="6960"/>
              </w:tabs>
              <w:spacing w:before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Opening A</w:t>
            </w:r>
            <w:r w:rsidR="00D2523C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nnual Event</w:t>
            </w:r>
            <w:r w:rsidR="000309F5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:</w:t>
            </w:r>
          </w:p>
          <w:p w:rsidR="00972C3A" w:rsidRPr="00CF325F" w:rsidRDefault="00D2523C" w:rsidP="000309F5">
            <w:pPr>
              <w:tabs>
                <w:tab w:val="left" w:pos="6960"/>
              </w:tabs>
              <w:spacing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(Moderator ofthe Conference, Prof.</w:t>
            </w:r>
            <w:r w:rsidR="0010382E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Georgui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Baranets)</w:t>
            </w:r>
          </w:p>
          <w:p w:rsidR="00EA2FD9" w:rsidRPr="00CF325F" w:rsidRDefault="00EA2FD9" w:rsidP="000309F5">
            <w:pPr>
              <w:tabs>
                <w:tab w:val="left" w:pos="6960"/>
              </w:tabs>
              <w:spacing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Welcome words from Regional and Local authorities hosting the Annual Event</w:t>
            </w:r>
          </w:p>
          <w:p w:rsidR="00EA2FD9" w:rsidRPr="00CF325F" w:rsidRDefault="00EA2FD9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Mr. An</w:t>
            </w:r>
            <w:r w:rsidR="00C52AFB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d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rey Minin, </w:t>
            </w:r>
            <w:r w:rsidR="00004365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Chairman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 of the Committee for External Relations of the Leningrad Region; </w:t>
            </w:r>
          </w:p>
          <w:p w:rsidR="00EA2FD9" w:rsidRPr="00CF325F" w:rsidRDefault="002E1BF8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Mr</w:t>
            </w:r>
            <w:r w:rsidR="00EA2FD9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Vladimir Norkin</w:t>
            </w:r>
            <w:r w:rsidR="003405D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Acting </w:t>
            </w:r>
            <w:r w:rsidR="003405D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Head of the Gatchina municipal District Administration</w:t>
            </w:r>
          </w:p>
          <w:p w:rsidR="00EA2FD9" w:rsidRPr="00CF325F" w:rsidRDefault="003405D1" w:rsidP="000309F5">
            <w:pPr>
              <w:tabs>
                <w:tab w:val="left" w:pos="6960"/>
              </w:tabs>
              <w:spacing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Opening of the Annual Event by the Heads of National Delegations</w:t>
            </w:r>
          </w:p>
          <w:p w:rsidR="00624DCC" w:rsidRPr="00CF325F" w:rsidRDefault="00624DCC" w:rsidP="00BB10DA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Video-address by Ms. Margarita Golovko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, Head of European Territorial Co-operation Bureau, Regional Development Department, </w:t>
            </w:r>
            <w:r w:rsidR="00BB10DA" w:rsidRP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lastRenderedPageBreak/>
              <w:t>Ministry of Interior of the Republic of Estonia</w:t>
            </w:r>
            <w:r w:rsid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;</w:t>
            </w:r>
          </w:p>
          <w:p w:rsidR="002B3BE2" w:rsidRPr="00CF325F" w:rsidRDefault="002B3BE2" w:rsidP="00BB10DA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Ms. Iruma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Kravale,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Head of Development Instruments Department, </w:t>
            </w:r>
            <w:r w:rsidR="00BB10DA" w:rsidRP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Ministry of Environmental Protection and Regional Development of the Republic of Latvia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;</w:t>
            </w:r>
          </w:p>
          <w:p w:rsidR="00D2523C" w:rsidRPr="00CF325F" w:rsidRDefault="00AA3267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Mr.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="00EA2FD9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Konstantin Shkred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, </w:t>
            </w:r>
            <w:r w:rsidR="00EA2FD9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Head of Department for International Relations, Promotion of  Interregional and Cross-Border Cooperation, </w:t>
            </w:r>
            <w:r w:rsidR="00EA2FD9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br/>
            </w:r>
            <w:r w:rsidR="00D2523C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Ministry of Regional Develo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pment of the Russian Federation</w:t>
            </w:r>
          </w:p>
          <w:p w:rsidR="00972C3A" w:rsidRPr="00CF325F" w:rsidRDefault="00972C3A" w:rsidP="00D375AB">
            <w:pPr>
              <w:pStyle w:val="ListParagraph"/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0309F5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lastRenderedPageBreak/>
              <w:t xml:space="preserve">11:00 </w:t>
            </w:r>
          </w:p>
        </w:tc>
        <w:tc>
          <w:tcPr>
            <w:tcW w:w="8363" w:type="dxa"/>
            <w:vAlign w:val="center"/>
          </w:tcPr>
          <w:p w:rsidR="00AC4132" w:rsidRPr="00CF325F" w:rsidRDefault="00AC4132" w:rsidP="00972C3A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Plenary Session I</w:t>
            </w:r>
          </w:p>
          <w:p w:rsidR="00877A1D" w:rsidRPr="00CF325F" w:rsidRDefault="00EA2FD9" w:rsidP="00EA2FD9">
            <w:pPr>
              <w:tabs>
                <w:tab w:val="left" w:pos="6960"/>
              </w:tabs>
              <w:spacing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“</w:t>
            </w:r>
            <w:r w:rsidR="00877A1D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Estonia </w:t>
            </w:r>
            <w:r w:rsidR="00AB1DE1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– Latvia – Russia CBC Programme</w:t>
            </w:r>
            <w:r w:rsidR="008B4F88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contribution to the development of regions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”</w:t>
            </w:r>
            <w:r w:rsidR="00AB1DE1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,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="00155AC3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Ms. </w:t>
            </w:r>
            <w:r w:rsidR="00AD387B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Iruma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 </w:t>
            </w:r>
            <w:r w:rsidR="00AD387B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Kravale</w:t>
            </w:r>
            <w:r w:rsidR="00155AC3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, </w:t>
            </w:r>
            <w:r w:rsidR="008F7FFC" w:rsidRPr="008F7FFC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Head of Development Instruments Department, </w:t>
            </w:r>
            <w:r w:rsidR="00BB10DA" w:rsidRP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Ministry of Environmental Protection and Regional Development of the Republic of Latvia</w:t>
            </w:r>
          </w:p>
          <w:p w:rsidR="00EA2FD9" w:rsidRPr="00CF325F" w:rsidRDefault="00EA2FD9" w:rsidP="00EA2FD9">
            <w:pPr>
              <w:tabs>
                <w:tab w:val="left" w:pos="6960"/>
              </w:tabs>
              <w:spacing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</w:p>
          <w:p w:rsidR="008B4F88" w:rsidRPr="00CF325F" w:rsidRDefault="008B4F88" w:rsidP="008B4F88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“Development of the border-crossing and logistics in the Programme area”</w:t>
            </w:r>
            <w:r w:rsidR="00EA2FD9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:</w:t>
            </w:r>
          </w:p>
          <w:p w:rsidR="000309F5" w:rsidRPr="00CF325F" w:rsidRDefault="00AB1DE1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Ms. </w:t>
            </w:r>
            <w:r w:rsidR="000D1075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Angelika Zaboeva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, </w:t>
            </w:r>
            <w:r w:rsidR="000D1075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Deputy Head of Unit for International </w:t>
            </w:r>
            <w:r w:rsidR="008B1375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Relations, 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Department of State policy, ROSGRANITSA,</w:t>
            </w:r>
            <w:r w:rsidR="000F06C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</w:t>
            </w:r>
            <w:r w:rsidR="00367C3E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LSP-2 and LSP-4</w:t>
            </w:r>
            <w:r w:rsidR="000F06C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="000F06C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br/>
              <w:t>(accompanied by Mr Valery Klevits and Mr Jurijs Kondratenko);</w:t>
            </w:r>
          </w:p>
          <w:p w:rsidR="00132714" w:rsidRPr="00CF325F" w:rsidRDefault="00AB1DE1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Mr. Kuno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Mannik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, Regional director of Estonian Road Administration, 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LSP-1;</w:t>
            </w:r>
          </w:p>
          <w:p w:rsidR="001E1302" w:rsidRPr="00CF325F" w:rsidRDefault="00AB1DE1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Ms. </w:t>
            </w:r>
            <w:r w:rsidR="00B51229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Tatyana Koptelova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, </w:t>
            </w:r>
            <w:r w:rsidR="00B51229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Senior scientific researcher, </w:t>
            </w:r>
            <w:bookmarkStart w:id="0" w:name="_GoBack"/>
            <w:bookmarkEnd w:id="0"/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"Museum Agency" of Leningrad Region, 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LSP-6</w:t>
            </w:r>
          </w:p>
          <w:p w:rsidR="00132714" w:rsidRPr="00CF325F" w:rsidRDefault="00132714" w:rsidP="00132714">
            <w:pPr>
              <w:pStyle w:val="ListParagraph"/>
              <w:tabs>
                <w:tab w:val="left" w:pos="6960"/>
              </w:tabs>
              <w:spacing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</w:p>
          <w:p w:rsidR="00AD387B" w:rsidRPr="00CF325F" w:rsidRDefault="00AD387B" w:rsidP="00AD387B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Opening of the Project Exhibition “Children in project focus”</w:t>
            </w:r>
          </w:p>
          <w:p w:rsidR="00AD387B" w:rsidRPr="00CF325F" w:rsidRDefault="00AD387B" w:rsidP="00AD387B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Introduction by mo</w:t>
            </w:r>
            <w:r w:rsidR="007A2337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derator, Prof. Georgui</w:t>
            </w:r>
            <w:r w:rsidR="000F06C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="007A2337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Baranets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0309F5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 xml:space="preserve">12:00 </w:t>
            </w:r>
          </w:p>
          <w:p w:rsidR="00367C3E" w:rsidRPr="00CF325F" w:rsidRDefault="00367C3E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8363" w:type="dxa"/>
            <w:vAlign w:val="center"/>
          </w:tcPr>
          <w:p w:rsidR="00972C3A" w:rsidRPr="00CF325F" w:rsidRDefault="00132714" w:rsidP="00972C3A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Project Exhibition “Children in </w:t>
            </w:r>
            <w:r w:rsidR="00E31A46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project focus”</w:t>
            </w:r>
          </w:p>
          <w:p w:rsidR="00E31A46" w:rsidRPr="00CF325F" w:rsidRDefault="00E31A46" w:rsidP="00E31A46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Projects related to “Children” subjects; </w:t>
            </w:r>
          </w:p>
          <w:p w:rsidR="001C6E5A" w:rsidRPr="00CF325F" w:rsidRDefault="001C6E5A" w:rsidP="001C6E5A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Few projects’ presentations; </w:t>
            </w:r>
          </w:p>
          <w:p w:rsidR="007028C8" w:rsidRPr="00CF325F" w:rsidRDefault="001C6E5A" w:rsidP="007028C8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Interactive project stands 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0309F5" w:rsidP="00A7208D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12:</w:t>
            </w:r>
            <w:r w:rsidR="00A7208D"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45</w:t>
            </w:r>
          </w:p>
        </w:tc>
        <w:tc>
          <w:tcPr>
            <w:tcW w:w="8363" w:type="dxa"/>
            <w:vAlign w:val="center"/>
          </w:tcPr>
          <w:p w:rsidR="00AC4132" w:rsidRPr="00CF325F" w:rsidRDefault="00AC4132" w:rsidP="007028C8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Plenary Session II</w:t>
            </w:r>
          </w:p>
          <w:p w:rsidR="007028C8" w:rsidRPr="00CF325F" w:rsidRDefault="00AC4132" w:rsidP="007028C8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“Encouraging business and entrepreneurship - </w:t>
            </w:r>
            <w:r w:rsidR="001C6E5A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success stories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” </w:t>
            </w:r>
          </w:p>
          <w:p w:rsidR="007028C8" w:rsidRPr="00CF325F" w:rsidRDefault="00AB1DE1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Mr. Aarne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Leima</w:t>
            </w:r>
            <w:r w:rsidR="00624DCC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, Union of Setomaa Rural Mu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nicipalities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, </w:t>
            </w:r>
            <w:r w:rsidR="00A1699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br/>
              <w:t>“Promoting the use of cultural heritage and resources in product development in border areas” (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ELRII-291</w:t>
            </w:r>
            <w:r w:rsidR="00A1699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)</w:t>
            </w:r>
            <w:r w:rsidR="007028C8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;</w:t>
            </w:r>
          </w:p>
          <w:p w:rsidR="00972C3A" w:rsidRPr="00CF325F" w:rsidRDefault="00AB1DE1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Mr. </w:t>
            </w:r>
            <w:r w:rsidR="00DC355B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Mikhail Pimonenko,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St.Petersburg University of Telecommunications,</w:t>
            </w:r>
            <w:r w:rsidR="005166EC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“Logistics and Overland Transport Network for Training "Blue Collars"” (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ELRII-465</w:t>
            </w:r>
            <w:r w:rsidR="005166EC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)</w:t>
            </w:r>
          </w:p>
        </w:tc>
      </w:tr>
      <w:tr w:rsidR="00624DCC" w:rsidRPr="00CF325F" w:rsidTr="003D27DD">
        <w:trPr>
          <w:trHeight w:val="851"/>
        </w:trPr>
        <w:tc>
          <w:tcPr>
            <w:tcW w:w="10065" w:type="dxa"/>
            <w:gridSpan w:val="2"/>
            <w:vAlign w:val="center"/>
          </w:tcPr>
          <w:p w:rsidR="00624DCC" w:rsidRPr="00CF325F" w:rsidRDefault="00624DCC" w:rsidP="00AC4132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Show of drawings and photos made by children and young people within Projects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972C3A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 xml:space="preserve">13:30 </w:t>
            </w:r>
            <w:r w:rsidR="00A16991"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br/>
            </w:r>
            <w:r w:rsidR="00AC4132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8363" w:type="dxa"/>
            <w:vAlign w:val="center"/>
          </w:tcPr>
          <w:p w:rsidR="00972C3A" w:rsidRPr="00CF325F" w:rsidRDefault="00972C3A" w:rsidP="00AC4132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0309F5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lastRenderedPageBreak/>
              <w:t xml:space="preserve">14:30 </w:t>
            </w:r>
          </w:p>
        </w:tc>
        <w:tc>
          <w:tcPr>
            <w:tcW w:w="8363" w:type="dxa"/>
            <w:vAlign w:val="center"/>
          </w:tcPr>
          <w:p w:rsidR="00AC4132" w:rsidRPr="00CF325F" w:rsidRDefault="00AC4132" w:rsidP="000309F5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Plenary Session III</w:t>
            </w:r>
          </w:p>
          <w:p w:rsidR="000309F5" w:rsidRPr="00CF325F" w:rsidRDefault="00AC4132" w:rsidP="000309F5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“C</w:t>
            </w:r>
            <w:r w:rsidR="001C6E5A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ross border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cooperation for future – benefits for </w:t>
            </w:r>
            <w:r w:rsidR="001C6E5A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children</w:t>
            </w:r>
            <w:r w:rsidR="00A7208D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”</w:t>
            </w:r>
          </w:p>
          <w:p w:rsidR="00AA3267" w:rsidRPr="00CF325F" w:rsidRDefault="00242828" w:rsidP="00675C2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Benefits for children in</w:t>
            </w:r>
            <w:r w:rsidR="00AA3267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 Projects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involving</w:t>
            </w:r>
            <w:r w:rsidR="00AA3267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 Leningrad Oblast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partners </w:t>
            </w:r>
            <w:r w:rsidR="00AA3267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(sports, culture, education etc.)</w:t>
            </w:r>
          </w:p>
          <w:p w:rsidR="00AA3267" w:rsidRPr="00CF325F" w:rsidRDefault="00AA3267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b/>
                <w:i/>
                <w:color w:val="17365D" w:themeColor="text2" w:themeShade="BF"/>
                <w:sz w:val="20"/>
                <w:szCs w:val="20"/>
                <w:lang w:val="en-US"/>
              </w:rPr>
            </w:pPr>
          </w:p>
          <w:p w:rsidR="00242828" w:rsidRPr="00CF325F" w:rsidRDefault="00242828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Ms. Unda Ozolina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, Head of the Joint Technical Secretariat, </w:t>
            </w:r>
            <w:r w:rsidR="009C25E8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“Capitalization of the children project thematic”</w:t>
            </w:r>
          </w:p>
          <w:p w:rsidR="00AC4132" w:rsidRPr="00CF325F" w:rsidRDefault="005166EC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Ms. Maria Laanemäe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, Jõhvi</w:t>
            </w:r>
            <w:r w:rsidR="00822738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Municipal</w:t>
            </w:r>
            <w:r w:rsidR="00F77AF9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ity</w:t>
            </w:r>
            <w:r w:rsidR="00822738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Government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,</w:t>
            </w:r>
            <w:r w:rsidR="000F06C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 </w:t>
            </w:r>
            <w:r w:rsidR="009C25E8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“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Awareness Rising and Investments in Energy Efficiency: Jõhvi and Kingisepp”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 (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 xml:space="preserve">ELRII-499); </w:t>
            </w:r>
          </w:p>
          <w:p w:rsidR="005166EC" w:rsidRPr="00CF325F" w:rsidRDefault="005166EC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Ms. Marika Post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, Valga town, “Be good at sport through three countries” (ELRII-227);</w:t>
            </w:r>
          </w:p>
          <w:p w:rsidR="005166EC" w:rsidRPr="00CF325F" w:rsidRDefault="005166EC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Ms. Viivika Nagel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US"/>
              </w:rPr>
              <w:t>, Rõuge municipality, “Sun and Wind: Universal Renewables for Local Sustainability” (ELRII-473)</w:t>
            </w:r>
          </w:p>
          <w:p w:rsidR="00A7208D" w:rsidRPr="00CF325F" w:rsidRDefault="00A7208D" w:rsidP="00AA3267">
            <w:pPr>
              <w:pStyle w:val="ListParagraph"/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</w:p>
          <w:p w:rsidR="009C4583" w:rsidRPr="00CF325F" w:rsidRDefault="00A7208D" w:rsidP="00EA2FD9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“Prospects of future cross border cooperation programmes”</w:t>
            </w:r>
          </w:p>
          <w:p w:rsidR="00A7208D" w:rsidRPr="00CF325F" w:rsidRDefault="00A7208D" w:rsidP="00A7208D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Future ENI CBC Programmes Estonia-Russia and Latvia-Russia</w:t>
            </w:r>
          </w:p>
          <w:p w:rsidR="00A7208D" w:rsidRPr="00CF325F" w:rsidRDefault="00A7208D" w:rsidP="00A7208D">
            <w:pPr>
              <w:pStyle w:val="ListParagraph"/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</w:p>
          <w:p w:rsidR="00A7208D" w:rsidRPr="00CF325F" w:rsidRDefault="00A7208D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National representatives of the involved countries (RUS, EST, LAT):</w:t>
            </w:r>
          </w:p>
          <w:p w:rsidR="00A7208D" w:rsidRPr="00CF325F" w:rsidRDefault="00A7208D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Ms. </w:t>
            </w:r>
            <w:r w:rsidR="00EA2FD9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Svetlana Bibichkova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, </w:t>
            </w:r>
            <w:r w:rsidR="003405D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Deputy head of the Cross-Border Cooperation Unit, 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Ministry of Regional Development of the Russian Federation;</w:t>
            </w:r>
          </w:p>
          <w:p w:rsidR="003405D1" w:rsidRPr="00CF325F" w:rsidRDefault="00A7208D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Ms. Julia Koger, </w:t>
            </w:r>
            <w:r w:rsidR="003405D1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European Territorial Cooperation Bureau Advisor,</w:t>
            </w:r>
          </w:p>
          <w:p w:rsidR="00A7208D" w:rsidRPr="00CF325F" w:rsidRDefault="003405D1" w:rsidP="00675C2D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Regional Development Department,</w:t>
            </w:r>
            <w:r w:rsidR="00BB10DA" w:rsidRP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Ministry of Interior of the Republic of Estonia</w:t>
            </w:r>
            <w:r w:rsidR="00A7208D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;</w:t>
            </w:r>
          </w:p>
          <w:p w:rsidR="00972C3A" w:rsidRPr="00CF325F" w:rsidRDefault="00A7208D" w:rsidP="00BB10DA">
            <w:pPr>
              <w:pStyle w:val="ListParagraph"/>
              <w:tabs>
                <w:tab w:val="left" w:pos="6960"/>
              </w:tabs>
              <w:spacing w:before="120" w:after="120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Ms. Ilze</w:t>
            </w:r>
            <w:r w:rsidR="000F06C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</w:t>
            </w: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Krieva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, </w:t>
            </w:r>
            <w:r w:rsidR="00DC2178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Deputy Director of Development Instruments Department, </w:t>
            </w:r>
            <w:r w:rsidR="00BB10DA" w:rsidRP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Ministry of Environmental Protection and Regional </w:t>
            </w:r>
            <w:r w:rsid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D</w:t>
            </w:r>
            <w:r w:rsidR="00BB10DA" w:rsidRPr="00BB10DA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evelopment of the Republic of Latvia</w:t>
            </w:r>
          </w:p>
        </w:tc>
      </w:tr>
      <w:tr w:rsidR="00FD4F71" w:rsidRPr="00CF325F" w:rsidTr="005166EC">
        <w:trPr>
          <w:trHeight w:val="851"/>
        </w:trPr>
        <w:tc>
          <w:tcPr>
            <w:tcW w:w="1702" w:type="dxa"/>
            <w:vAlign w:val="center"/>
          </w:tcPr>
          <w:p w:rsidR="00FD4F71" w:rsidRPr="00CF325F" w:rsidRDefault="00FD4F71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 xml:space="preserve">16:00 </w:t>
            </w:r>
          </w:p>
        </w:tc>
        <w:tc>
          <w:tcPr>
            <w:tcW w:w="8363" w:type="dxa"/>
            <w:vAlign w:val="center"/>
          </w:tcPr>
          <w:p w:rsidR="00FD4F71" w:rsidRPr="00CF325F" w:rsidRDefault="00FD4F71" w:rsidP="005166EC">
            <w:pPr>
              <w:tabs>
                <w:tab w:val="left" w:pos="6960"/>
              </w:tabs>
              <w:spacing w:before="120" w:after="120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Exhibition of all Projects opened for participants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0309F5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1</w:t>
            </w:r>
            <w:r w:rsidR="00FD4F71"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6</w:t>
            </w:r>
            <w:r w:rsidR="001C6E5A"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:3</w:t>
            </w: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 xml:space="preserve">0 </w:t>
            </w:r>
          </w:p>
        </w:tc>
        <w:tc>
          <w:tcPr>
            <w:tcW w:w="8363" w:type="dxa"/>
            <w:vAlign w:val="center"/>
          </w:tcPr>
          <w:p w:rsidR="00FE1176" w:rsidRPr="00CF325F" w:rsidRDefault="00FE1176" w:rsidP="00AC4132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I</w:t>
            </w:r>
            <w:r w:rsidR="00AC4132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n parallel - g</w:t>
            </w:r>
            <w:r w:rsidR="000309F5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uided excursion in the Gatchina Palace</w:t>
            </w:r>
          </w:p>
          <w:p w:rsidR="009C4583" w:rsidRPr="00CF325F" w:rsidRDefault="00AC4132" w:rsidP="009C4583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(g</w:t>
            </w:r>
            <w:r w:rsidR="009C4583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roups </w:t>
            </w:r>
            <w:r w:rsidR="00114517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2</w:t>
            </w:r>
            <w:r w:rsidR="009C4583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0-</w:t>
            </w:r>
            <w:r w:rsidR="00114517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30</w:t>
            </w:r>
            <w:r w:rsidR="009C4583"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 people, Russian and English speaking guides</w:t>
            </w: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)</w:t>
            </w:r>
          </w:p>
        </w:tc>
      </w:tr>
      <w:tr w:rsidR="00F32630" w:rsidRPr="00CF325F" w:rsidTr="00D2523C">
        <w:trPr>
          <w:trHeight w:val="851"/>
        </w:trPr>
        <w:tc>
          <w:tcPr>
            <w:tcW w:w="1702" w:type="dxa"/>
            <w:vAlign w:val="center"/>
          </w:tcPr>
          <w:p w:rsidR="00F32630" w:rsidRPr="00CF325F" w:rsidRDefault="00F32630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17:30</w:t>
            </w:r>
          </w:p>
        </w:tc>
        <w:tc>
          <w:tcPr>
            <w:tcW w:w="8363" w:type="dxa"/>
            <w:vAlign w:val="center"/>
          </w:tcPr>
          <w:p w:rsidR="00F32630" w:rsidRPr="00CF325F" w:rsidRDefault="00F32630" w:rsidP="008916CF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Musicalconcert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by «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Jazz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-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>Tone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» 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US"/>
              </w:rPr>
              <w:t xml:space="preserve">Orchestra of the Volkhov city 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municipalPalace</w:t>
            </w:r>
            <w:r w:rsidR="00E2146D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 of Culture</w:t>
            </w:r>
            <w:r w:rsidR="008916CF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, project “Cooperation in the theatre and the music arts development” (ELRI-106)</w:t>
            </w:r>
          </w:p>
        </w:tc>
      </w:tr>
      <w:tr w:rsidR="00972C3A" w:rsidRPr="00CF325F" w:rsidTr="00D2523C">
        <w:trPr>
          <w:trHeight w:val="851"/>
        </w:trPr>
        <w:tc>
          <w:tcPr>
            <w:tcW w:w="1702" w:type="dxa"/>
            <w:vAlign w:val="center"/>
          </w:tcPr>
          <w:p w:rsidR="00972C3A" w:rsidRPr="00CF325F" w:rsidRDefault="000309F5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 xml:space="preserve">18:00 </w:t>
            </w:r>
          </w:p>
        </w:tc>
        <w:tc>
          <w:tcPr>
            <w:tcW w:w="8363" w:type="dxa"/>
            <w:vAlign w:val="center"/>
          </w:tcPr>
          <w:p w:rsidR="009C4583" w:rsidRPr="00CF325F" w:rsidRDefault="001C6E5A" w:rsidP="00FD4F71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Closing cocktail in the Gatchina Palace Garden</w:t>
            </w:r>
            <w:r w:rsidR="009C4583"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 xml:space="preserve">: </w:t>
            </w:r>
          </w:p>
          <w:p w:rsidR="009C4583" w:rsidRPr="00CF325F" w:rsidRDefault="009C4583" w:rsidP="009C4583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Awards to projects completed;</w:t>
            </w:r>
          </w:p>
          <w:p w:rsidR="009C4583" w:rsidRPr="00CF325F" w:rsidRDefault="009C4583" w:rsidP="009C4583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 xml:space="preserve">Joint photo; </w:t>
            </w:r>
          </w:p>
          <w:p w:rsidR="009C4583" w:rsidRPr="00CF325F" w:rsidRDefault="00114517" w:rsidP="009C4583">
            <w:pPr>
              <w:pStyle w:val="ListParagraph"/>
              <w:numPr>
                <w:ilvl w:val="0"/>
                <w:numId w:val="14"/>
              </w:num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20"/>
                <w:szCs w:val="20"/>
                <w:lang w:val="en-GB"/>
              </w:rPr>
              <w:t>Background music divertissement</w:t>
            </w:r>
          </w:p>
        </w:tc>
      </w:tr>
      <w:tr w:rsidR="008916CF" w:rsidRPr="00CF325F" w:rsidTr="00D2523C">
        <w:trPr>
          <w:trHeight w:val="851"/>
        </w:trPr>
        <w:tc>
          <w:tcPr>
            <w:tcW w:w="1702" w:type="dxa"/>
            <w:vAlign w:val="center"/>
          </w:tcPr>
          <w:p w:rsidR="008916CF" w:rsidRPr="00CF325F" w:rsidRDefault="008916CF" w:rsidP="00A16991">
            <w:pPr>
              <w:tabs>
                <w:tab w:val="left" w:pos="6960"/>
              </w:tabs>
              <w:spacing w:before="120" w:after="120"/>
              <w:jc w:val="center"/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</w:pPr>
            <w:r w:rsidRPr="00CF325F">
              <w:rPr>
                <w:rFonts w:ascii="Verdana" w:hAnsi="Verdana"/>
                <w:color w:val="17365D" w:themeColor="text2" w:themeShade="BF"/>
                <w:sz w:val="18"/>
                <w:szCs w:val="18"/>
                <w:lang w:val="en-GB"/>
              </w:rPr>
              <w:t>19:30</w:t>
            </w:r>
          </w:p>
        </w:tc>
        <w:tc>
          <w:tcPr>
            <w:tcW w:w="8363" w:type="dxa"/>
            <w:vAlign w:val="center"/>
          </w:tcPr>
          <w:p w:rsidR="008916CF" w:rsidRPr="00CF325F" w:rsidRDefault="008916CF" w:rsidP="00FD4F71">
            <w:pPr>
              <w:tabs>
                <w:tab w:val="left" w:pos="6960"/>
              </w:tabs>
              <w:spacing w:before="120" w:after="120"/>
              <w:jc w:val="both"/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</w:pPr>
            <w:r w:rsidRPr="00CF325F">
              <w:rPr>
                <w:rFonts w:ascii="Verdana" w:hAnsi="Verdana"/>
                <w:b/>
                <w:color w:val="17365D" w:themeColor="text2" w:themeShade="BF"/>
                <w:sz w:val="20"/>
                <w:szCs w:val="20"/>
                <w:lang w:val="en-GB"/>
              </w:rPr>
              <w:t>Buses departure to St.Petersburg and Pskov</w:t>
            </w:r>
          </w:p>
        </w:tc>
      </w:tr>
    </w:tbl>
    <w:p w:rsidR="000C3C36" w:rsidRPr="00CF325F" w:rsidRDefault="000C3C36" w:rsidP="00114517">
      <w:pPr>
        <w:rPr>
          <w:rFonts w:ascii="Verdana" w:hAnsi="Verdana"/>
          <w:color w:val="17365D" w:themeColor="text2" w:themeShade="BF"/>
          <w:sz w:val="20"/>
          <w:szCs w:val="20"/>
          <w:lang w:val="en-GB"/>
        </w:rPr>
      </w:pPr>
    </w:p>
    <w:sectPr w:rsidR="000C3C36" w:rsidRPr="00CF325F" w:rsidSect="00B04C6C">
      <w:head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81" w:rsidRDefault="001E3581" w:rsidP="002D32DD">
      <w:pPr>
        <w:spacing w:after="0" w:line="240" w:lineRule="auto"/>
      </w:pPr>
      <w:r>
        <w:separator/>
      </w:r>
    </w:p>
  </w:endnote>
  <w:endnote w:type="continuationSeparator" w:id="0">
    <w:p w:rsidR="001E3581" w:rsidRDefault="001E3581" w:rsidP="002D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81" w:rsidRDefault="001E3581" w:rsidP="002D32DD">
      <w:pPr>
        <w:spacing w:after="0" w:line="240" w:lineRule="auto"/>
      </w:pPr>
      <w:r>
        <w:separator/>
      </w:r>
    </w:p>
  </w:footnote>
  <w:footnote w:type="continuationSeparator" w:id="0">
    <w:p w:rsidR="001E3581" w:rsidRDefault="001E3581" w:rsidP="002D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BD" w:rsidRDefault="00B91BE3" w:rsidP="002D32DD">
    <w:pPr>
      <w:pStyle w:val="Header"/>
      <w:jc w:val="center"/>
    </w:pPr>
    <w:sdt>
      <w:sdtPr>
        <w:id w:val="574170517"/>
        <w:docPartObj>
          <w:docPartGallery w:val="Page Numbers (Margins)"/>
          <w:docPartUnique/>
        </w:docPartObj>
      </w:sdtPr>
      <w:sdtContent>
        <w:r w:rsidRPr="00B91BE3">
          <w:rPr>
            <w:noProof/>
            <w:lang w:val="en-GB" w:eastAsia="en-GB"/>
          </w:rPr>
          <w:pict>
            <v:rect id="Rectangle 3" o:spid="_x0000_s2049" style="position:absolute;left:0;text-align:left;margin-left:49pt;margin-top:0;width:70.1pt;height:34.15pt;z-index:251659264;visibility:visible;mso-width-percent:900;mso-top-percent:100;mso-position-horizontal:right;mso-position-horizontal-relative:right-margin-area;mso-position-vertical-relative:margin;mso-width-percent:900;mso-top-percent:1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GUcw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" o:allowincell="f" stroked="f">
              <v:textbox style="mso-fit-shape-to-text:t" inset="0,,0">
                <w:txbxContent>
                  <w:p w:rsidR="00F509BD" w:rsidRDefault="00F509BD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r w:rsidR="00B91BE3">
                      <w:fldChar w:fldCharType="begin"/>
                    </w:r>
                    <w:r w:rsidR="00515D74">
                      <w:instrText xml:space="preserve"> PAGE   \* MERGEFORMAT </w:instrText>
                    </w:r>
                    <w:r w:rsidR="00B91BE3">
                      <w:fldChar w:fldCharType="separate"/>
                    </w:r>
                    <w:r w:rsidR="00816DA4">
                      <w:rPr>
                        <w:noProof/>
                      </w:rPr>
                      <w:t>1</w:t>
                    </w:r>
                    <w:r w:rsidR="00B91BE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F509BD">
      <w:rPr>
        <w:noProof/>
        <w:lang w:eastAsia="lv-LV"/>
      </w:rPr>
      <w:drawing>
        <wp:inline distT="0" distB="0" distL="0" distR="0">
          <wp:extent cx="1104900" cy="7334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946"/>
      </v:shape>
    </w:pict>
  </w:numPicBullet>
  <w:abstractNum w:abstractNumId="0">
    <w:nsid w:val="01554A77"/>
    <w:multiLevelType w:val="hybridMultilevel"/>
    <w:tmpl w:val="2C1A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C76"/>
    <w:multiLevelType w:val="hybridMultilevel"/>
    <w:tmpl w:val="9F6683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5A24"/>
    <w:multiLevelType w:val="hybridMultilevel"/>
    <w:tmpl w:val="9230C576"/>
    <w:lvl w:ilvl="0" w:tplc="BAD4F0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9595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C5D52"/>
    <w:multiLevelType w:val="hybridMultilevel"/>
    <w:tmpl w:val="CC2C4C34"/>
    <w:lvl w:ilvl="0" w:tplc="187CB5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570E"/>
    <w:multiLevelType w:val="hybridMultilevel"/>
    <w:tmpl w:val="0BC4B0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56455"/>
    <w:multiLevelType w:val="hybridMultilevel"/>
    <w:tmpl w:val="59BA8D9A"/>
    <w:lvl w:ilvl="0" w:tplc="4D1C8A62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6469E"/>
    <w:multiLevelType w:val="hybridMultilevel"/>
    <w:tmpl w:val="9980371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79C9"/>
    <w:multiLevelType w:val="hybridMultilevel"/>
    <w:tmpl w:val="C2CCC7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D314E"/>
    <w:multiLevelType w:val="hybridMultilevel"/>
    <w:tmpl w:val="F1945842"/>
    <w:lvl w:ilvl="0" w:tplc="4AB0CAFE">
      <w:start w:val="2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7445D"/>
    <w:multiLevelType w:val="hybridMultilevel"/>
    <w:tmpl w:val="C6121A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F4DAD"/>
    <w:multiLevelType w:val="hybridMultilevel"/>
    <w:tmpl w:val="A790E618"/>
    <w:lvl w:ilvl="0" w:tplc="2346BA8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331A5"/>
    <w:multiLevelType w:val="hybridMultilevel"/>
    <w:tmpl w:val="806066C0"/>
    <w:lvl w:ilvl="0" w:tplc="2FD0859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43F33"/>
    <w:multiLevelType w:val="hybridMultilevel"/>
    <w:tmpl w:val="B748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714FB"/>
    <w:multiLevelType w:val="hybridMultilevel"/>
    <w:tmpl w:val="1780E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3792E"/>
    <w:multiLevelType w:val="hybridMultilevel"/>
    <w:tmpl w:val="75B6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13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4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28E"/>
    <w:rsid w:val="00004365"/>
    <w:rsid w:val="00004863"/>
    <w:rsid w:val="000067F8"/>
    <w:rsid w:val="00011A89"/>
    <w:rsid w:val="000131BE"/>
    <w:rsid w:val="000144AC"/>
    <w:rsid w:val="0002777A"/>
    <w:rsid w:val="000309F5"/>
    <w:rsid w:val="00037DBF"/>
    <w:rsid w:val="00044C00"/>
    <w:rsid w:val="000A48D2"/>
    <w:rsid w:val="000A7728"/>
    <w:rsid w:val="000C3C36"/>
    <w:rsid w:val="000C5877"/>
    <w:rsid w:val="000D07E6"/>
    <w:rsid w:val="000D1075"/>
    <w:rsid w:val="000E41A9"/>
    <w:rsid w:val="000E526C"/>
    <w:rsid w:val="000E5F54"/>
    <w:rsid w:val="000F06CF"/>
    <w:rsid w:val="000F404E"/>
    <w:rsid w:val="0010382E"/>
    <w:rsid w:val="00104234"/>
    <w:rsid w:val="001103D7"/>
    <w:rsid w:val="0011126E"/>
    <w:rsid w:val="00114517"/>
    <w:rsid w:val="00121BE8"/>
    <w:rsid w:val="00123DE0"/>
    <w:rsid w:val="00132714"/>
    <w:rsid w:val="00150DCE"/>
    <w:rsid w:val="001548F2"/>
    <w:rsid w:val="00155AC3"/>
    <w:rsid w:val="00161D64"/>
    <w:rsid w:val="00170D5B"/>
    <w:rsid w:val="00173115"/>
    <w:rsid w:val="00183641"/>
    <w:rsid w:val="001966E1"/>
    <w:rsid w:val="001A3409"/>
    <w:rsid w:val="001A5DA4"/>
    <w:rsid w:val="001C4D35"/>
    <w:rsid w:val="001C6E5A"/>
    <w:rsid w:val="001D22D0"/>
    <w:rsid w:val="001E1302"/>
    <w:rsid w:val="001E34F8"/>
    <w:rsid w:val="001E3581"/>
    <w:rsid w:val="001E60A0"/>
    <w:rsid w:val="001F797D"/>
    <w:rsid w:val="00203EAA"/>
    <w:rsid w:val="00222248"/>
    <w:rsid w:val="0023729E"/>
    <w:rsid w:val="0023782C"/>
    <w:rsid w:val="00242828"/>
    <w:rsid w:val="00254542"/>
    <w:rsid w:val="00256DCE"/>
    <w:rsid w:val="002677C6"/>
    <w:rsid w:val="002A1F40"/>
    <w:rsid w:val="002A460C"/>
    <w:rsid w:val="002A6843"/>
    <w:rsid w:val="002A6F50"/>
    <w:rsid w:val="002B1686"/>
    <w:rsid w:val="002B3BE2"/>
    <w:rsid w:val="002B711B"/>
    <w:rsid w:val="002D32DD"/>
    <w:rsid w:val="002D6F5E"/>
    <w:rsid w:val="002E1BF8"/>
    <w:rsid w:val="002E5DD0"/>
    <w:rsid w:val="002F7AE4"/>
    <w:rsid w:val="00321235"/>
    <w:rsid w:val="00324433"/>
    <w:rsid w:val="00324F9E"/>
    <w:rsid w:val="00332D72"/>
    <w:rsid w:val="00336765"/>
    <w:rsid w:val="003405D1"/>
    <w:rsid w:val="00344CEE"/>
    <w:rsid w:val="00354DF4"/>
    <w:rsid w:val="003663C4"/>
    <w:rsid w:val="00367C3E"/>
    <w:rsid w:val="00373218"/>
    <w:rsid w:val="003A46FD"/>
    <w:rsid w:val="003C2AC8"/>
    <w:rsid w:val="003E6D86"/>
    <w:rsid w:val="004145D3"/>
    <w:rsid w:val="00434536"/>
    <w:rsid w:val="00474B37"/>
    <w:rsid w:val="00480DC1"/>
    <w:rsid w:val="004858D2"/>
    <w:rsid w:val="0048799A"/>
    <w:rsid w:val="004950E8"/>
    <w:rsid w:val="004953C7"/>
    <w:rsid w:val="004954A5"/>
    <w:rsid w:val="004A1A3E"/>
    <w:rsid w:val="004A472F"/>
    <w:rsid w:val="004B070C"/>
    <w:rsid w:val="004B4814"/>
    <w:rsid w:val="004C134A"/>
    <w:rsid w:val="004E57FD"/>
    <w:rsid w:val="004F3468"/>
    <w:rsid w:val="004F5A60"/>
    <w:rsid w:val="00503F30"/>
    <w:rsid w:val="00507187"/>
    <w:rsid w:val="00514D76"/>
    <w:rsid w:val="00515D74"/>
    <w:rsid w:val="005166EC"/>
    <w:rsid w:val="00524014"/>
    <w:rsid w:val="00524E7E"/>
    <w:rsid w:val="00526618"/>
    <w:rsid w:val="00532CEF"/>
    <w:rsid w:val="00540A2E"/>
    <w:rsid w:val="005533F4"/>
    <w:rsid w:val="005605E1"/>
    <w:rsid w:val="00566BE7"/>
    <w:rsid w:val="00573789"/>
    <w:rsid w:val="005753B1"/>
    <w:rsid w:val="00577DEE"/>
    <w:rsid w:val="005C2183"/>
    <w:rsid w:val="005C29FA"/>
    <w:rsid w:val="005D7094"/>
    <w:rsid w:val="005F1315"/>
    <w:rsid w:val="005F6873"/>
    <w:rsid w:val="00600578"/>
    <w:rsid w:val="0061230F"/>
    <w:rsid w:val="00624DCC"/>
    <w:rsid w:val="00635C3A"/>
    <w:rsid w:val="00662EC9"/>
    <w:rsid w:val="00675C2D"/>
    <w:rsid w:val="00681A40"/>
    <w:rsid w:val="0069526C"/>
    <w:rsid w:val="006A1E21"/>
    <w:rsid w:val="006A6663"/>
    <w:rsid w:val="006C1B9C"/>
    <w:rsid w:val="006E0BA5"/>
    <w:rsid w:val="006E579B"/>
    <w:rsid w:val="007028C8"/>
    <w:rsid w:val="00707FC1"/>
    <w:rsid w:val="007210D8"/>
    <w:rsid w:val="00722840"/>
    <w:rsid w:val="0078074F"/>
    <w:rsid w:val="007A2337"/>
    <w:rsid w:val="007A26EE"/>
    <w:rsid w:val="007A53A5"/>
    <w:rsid w:val="007A5C7E"/>
    <w:rsid w:val="007B52C9"/>
    <w:rsid w:val="007C2283"/>
    <w:rsid w:val="007D761F"/>
    <w:rsid w:val="007E0873"/>
    <w:rsid w:val="007F340D"/>
    <w:rsid w:val="007F7DCD"/>
    <w:rsid w:val="00801060"/>
    <w:rsid w:val="0081641A"/>
    <w:rsid w:val="00816DA4"/>
    <w:rsid w:val="00820BA8"/>
    <w:rsid w:val="00822738"/>
    <w:rsid w:val="00833DB7"/>
    <w:rsid w:val="0084145C"/>
    <w:rsid w:val="00844EAA"/>
    <w:rsid w:val="0084662B"/>
    <w:rsid w:val="0084728E"/>
    <w:rsid w:val="00851786"/>
    <w:rsid w:val="00854751"/>
    <w:rsid w:val="0086669A"/>
    <w:rsid w:val="00866CFC"/>
    <w:rsid w:val="00870568"/>
    <w:rsid w:val="00877A1D"/>
    <w:rsid w:val="008916CF"/>
    <w:rsid w:val="008A2A7F"/>
    <w:rsid w:val="008A3468"/>
    <w:rsid w:val="008A7AAD"/>
    <w:rsid w:val="008B1375"/>
    <w:rsid w:val="008B39DA"/>
    <w:rsid w:val="008B4F88"/>
    <w:rsid w:val="008B5A33"/>
    <w:rsid w:val="008C01A6"/>
    <w:rsid w:val="008C1EAF"/>
    <w:rsid w:val="008C4DF6"/>
    <w:rsid w:val="008E29AB"/>
    <w:rsid w:val="008F1231"/>
    <w:rsid w:val="008F179E"/>
    <w:rsid w:val="008F7FFC"/>
    <w:rsid w:val="009009E1"/>
    <w:rsid w:val="00914EAC"/>
    <w:rsid w:val="00922D6C"/>
    <w:rsid w:val="00950AE4"/>
    <w:rsid w:val="00952A48"/>
    <w:rsid w:val="00957E01"/>
    <w:rsid w:val="00972C3A"/>
    <w:rsid w:val="00982EED"/>
    <w:rsid w:val="00996584"/>
    <w:rsid w:val="009A3089"/>
    <w:rsid w:val="009C25E8"/>
    <w:rsid w:val="009C39FE"/>
    <w:rsid w:val="009C4583"/>
    <w:rsid w:val="009D0E6E"/>
    <w:rsid w:val="009E1889"/>
    <w:rsid w:val="009E2179"/>
    <w:rsid w:val="00A04871"/>
    <w:rsid w:val="00A13795"/>
    <w:rsid w:val="00A16991"/>
    <w:rsid w:val="00A22391"/>
    <w:rsid w:val="00A25966"/>
    <w:rsid w:val="00A2652A"/>
    <w:rsid w:val="00A33E57"/>
    <w:rsid w:val="00A41E43"/>
    <w:rsid w:val="00A7208D"/>
    <w:rsid w:val="00A7459B"/>
    <w:rsid w:val="00A763D1"/>
    <w:rsid w:val="00A87084"/>
    <w:rsid w:val="00A92EB0"/>
    <w:rsid w:val="00A96C50"/>
    <w:rsid w:val="00A97ED1"/>
    <w:rsid w:val="00AA0ED7"/>
    <w:rsid w:val="00AA3267"/>
    <w:rsid w:val="00AB1DE1"/>
    <w:rsid w:val="00AB1EA8"/>
    <w:rsid w:val="00AB359C"/>
    <w:rsid w:val="00AC4132"/>
    <w:rsid w:val="00AC5ABF"/>
    <w:rsid w:val="00AD387B"/>
    <w:rsid w:val="00AE1669"/>
    <w:rsid w:val="00AE3A48"/>
    <w:rsid w:val="00AE531C"/>
    <w:rsid w:val="00AE6D05"/>
    <w:rsid w:val="00B022F1"/>
    <w:rsid w:val="00B04C6C"/>
    <w:rsid w:val="00B1118F"/>
    <w:rsid w:val="00B12FC6"/>
    <w:rsid w:val="00B20053"/>
    <w:rsid w:val="00B4649B"/>
    <w:rsid w:val="00B51229"/>
    <w:rsid w:val="00B56CE7"/>
    <w:rsid w:val="00B66713"/>
    <w:rsid w:val="00B67038"/>
    <w:rsid w:val="00B71B05"/>
    <w:rsid w:val="00B8178F"/>
    <w:rsid w:val="00B91BE3"/>
    <w:rsid w:val="00BA3E5B"/>
    <w:rsid w:val="00BA45F5"/>
    <w:rsid w:val="00BB10DA"/>
    <w:rsid w:val="00BB486A"/>
    <w:rsid w:val="00BB659D"/>
    <w:rsid w:val="00BD080D"/>
    <w:rsid w:val="00BE009A"/>
    <w:rsid w:val="00BE2303"/>
    <w:rsid w:val="00BE2D15"/>
    <w:rsid w:val="00BE5E87"/>
    <w:rsid w:val="00C146A3"/>
    <w:rsid w:val="00C16C5D"/>
    <w:rsid w:val="00C4028C"/>
    <w:rsid w:val="00C40779"/>
    <w:rsid w:val="00C41A6D"/>
    <w:rsid w:val="00C51A4D"/>
    <w:rsid w:val="00C52AFB"/>
    <w:rsid w:val="00C5398D"/>
    <w:rsid w:val="00C61298"/>
    <w:rsid w:val="00C6153B"/>
    <w:rsid w:val="00C665A7"/>
    <w:rsid w:val="00C670B1"/>
    <w:rsid w:val="00CC60E5"/>
    <w:rsid w:val="00CD18BA"/>
    <w:rsid w:val="00CF325F"/>
    <w:rsid w:val="00CF3ED1"/>
    <w:rsid w:val="00CF5C12"/>
    <w:rsid w:val="00D00845"/>
    <w:rsid w:val="00D10B3A"/>
    <w:rsid w:val="00D1282D"/>
    <w:rsid w:val="00D15D29"/>
    <w:rsid w:val="00D16A8E"/>
    <w:rsid w:val="00D17139"/>
    <w:rsid w:val="00D2523C"/>
    <w:rsid w:val="00D31938"/>
    <w:rsid w:val="00D375AB"/>
    <w:rsid w:val="00D40038"/>
    <w:rsid w:val="00D50428"/>
    <w:rsid w:val="00D56207"/>
    <w:rsid w:val="00D77253"/>
    <w:rsid w:val="00D81C9D"/>
    <w:rsid w:val="00DA220A"/>
    <w:rsid w:val="00DA473A"/>
    <w:rsid w:val="00DA6B1F"/>
    <w:rsid w:val="00DB1421"/>
    <w:rsid w:val="00DC2178"/>
    <w:rsid w:val="00DC355B"/>
    <w:rsid w:val="00DC708F"/>
    <w:rsid w:val="00DD040D"/>
    <w:rsid w:val="00DD2D60"/>
    <w:rsid w:val="00DE2C8E"/>
    <w:rsid w:val="00DF5BC2"/>
    <w:rsid w:val="00DF79CF"/>
    <w:rsid w:val="00E05380"/>
    <w:rsid w:val="00E06438"/>
    <w:rsid w:val="00E16282"/>
    <w:rsid w:val="00E20A8F"/>
    <w:rsid w:val="00E2146D"/>
    <w:rsid w:val="00E31A46"/>
    <w:rsid w:val="00E42A5C"/>
    <w:rsid w:val="00E47C80"/>
    <w:rsid w:val="00E52AB1"/>
    <w:rsid w:val="00E750EA"/>
    <w:rsid w:val="00E84484"/>
    <w:rsid w:val="00E85282"/>
    <w:rsid w:val="00EA2FD9"/>
    <w:rsid w:val="00EA7D53"/>
    <w:rsid w:val="00EB36CD"/>
    <w:rsid w:val="00EC1EF7"/>
    <w:rsid w:val="00EC2AEF"/>
    <w:rsid w:val="00EC739D"/>
    <w:rsid w:val="00F120A1"/>
    <w:rsid w:val="00F15602"/>
    <w:rsid w:val="00F21FF9"/>
    <w:rsid w:val="00F23FFE"/>
    <w:rsid w:val="00F26E2B"/>
    <w:rsid w:val="00F32630"/>
    <w:rsid w:val="00F329C6"/>
    <w:rsid w:val="00F33B14"/>
    <w:rsid w:val="00F33B82"/>
    <w:rsid w:val="00F346EA"/>
    <w:rsid w:val="00F40529"/>
    <w:rsid w:val="00F41FBA"/>
    <w:rsid w:val="00F509BD"/>
    <w:rsid w:val="00F65BED"/>
    <w:rsid w:val="00F67079"/>
    <w:rsid w:val="00F73CAE"/>
    <w:rsid w:val="00F771DC"/>
    <w:rsid w:val="00F77AF9"/>
    <w:rsid w:val="00F9474F"/>
    <w:rsid w:val="00FA27EE"/>
    <w:rsid w:val="00FB49F1"/>
    <w:rsid w:val="00FC2C64"/>
    <w:rsid w:val="00FC6568"/>
    <w:rsid w:val="00FD112F"/>
    <w:rsid w:val="00FD444C"/>
    <w:rsid w:val="00FD4F71"/>
    <w:rsid w:val="00FE1176"/>
    <w:rsid w:val="00FE2FC6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C6"/>
  </w:style>
  <w:style w:type="paragraph" w:styleId="Heading1">
    <w:name w:val="heading 1"/>
    <w:basedOn w:val="Normal"/>
    <w:next w:val="Normal"/>
    <w:link w:val="Heading1Char"/>
    <w:uiPriority w:val="9"/>
    <w:qFormat/>
    <w:rsid w:val="00006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472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3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DD"/>
  </w:style>
  <w:style w:type="paragraph" w:styleId="Footer">
    <w:name w:val="footer"/>
    <w:basedOn w:val="Normal"/>
    <w:link w:val="FooterChar"/>
    <w:uiPriority w:val="99"/>
    <w:unhideWhenUsed/>
    <w:rsid w:val="002D3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DD"/>
  </w:style>
  <w:style w:type="paragraph" w:styleId="BalloonText">
    <w:name w:val="Balloon Text"/>
    <w:basedOn w:val="Normal"/>
    <w:link w:val="BalloonTextChar"/>
    <w:uiPriority w:val="99"/>
    <w:semiHidden/>
    <w:unhideWhenUsed/>
    <w:rsid w:val="002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7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1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EA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6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8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C6"/>
  </w:style>
  <w:style w:type="paragraph" w:styleId="1">
    <w:name w:val="heading 1"/>
    <w:basedOn w:val="a"/>
    <w:next w:val="a"/>
    <w:link w:val="10"/>
    <w:uiPriority w:val="9"/>
    <w:qFormat/>
    <w:rsid w:val="00006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a4">
    <w:name w:val="Strong"/>
    <w:basedOn w:val="a0"/>
    <w:uiPriority w:val="22"/>
    <w:qFormat/>
    <w:rsid w:val="0084728E"/>
    <w:rPr>
      <w:b/>
      <w:bCs/>
    </w:rPr>
  </w:style>
  <w:style w:type="paragraph" w:styleId="a5">
    <w:name w:val="header"/>
    <w:basedOn w:val="a"/>
    <w:link w:val="a6"/>
    <w:uiPriority w:val="99"/>
    <w:unhideWhenUsed/>
    <w:rsid w:val="002D3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32DD"/>
  </w:style>
  <w:style w:type="paragraph" w:styleId="a7">
    <w:name w:val="footer"/>
    <w:basedOn w:val="a"/>
    <w:link w:val="a8"/>
    <w:uiPriority w:val="99"/>
    <w:unhideWhenUsed/>
    <w:rsid w:val="002D3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32DD"/>
  </w:style>
  <w:style w:type="paragraph" w:styleId="a9">
    <w:name w:val="Balloon Text"/>
    <w:basedOn w:val="a"/>
    <w:link w:val="aa"/>
    <w:uiPriority w:val="99"/>
    <w:semiHidden/>
    <w:unhideWhenUsed/>
    <w:rsid w:val="002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2D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2777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F771D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44E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4EA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4EA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4E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4EA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6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78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AC27-AAC3-4ABA-97C1-B4853B36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3226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Presentation</dc:creator>
  <cp:lastModifiedBy>vineta.snore</cp:lastModifiedBy>
  <cp:revision>3</cp:revision>
  <cp:lastPrinted>2013-12-02T06:19:00Z</cp:lastPrinted>
  <dcterms:created xsi:type="dcterms:W3CDTF">2014-06-09T07:56:00Z</dcterms:created>
  <dcterms:modified xsi:type="dcterms:W3CDTF">2014-06-09T07:57:00Z</dcterms:modified>
</cp:coreProperties>
</file>